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8B" w:rsidRDefault="00964A8B" w:rsidP="00964A8B">
      <w:pPr>
        <w:rPr>
          <w:sz w:val="24"/>
        </w:rPr>
      </w:pPr>
      <w:r>
        <w:rPr>
          <w:sz w:val="24"/>
        </w:rPr>
        <w:t xml:space="preserve">                                                                                            </w:t>
      </w:r>
    </w:p>
    <w:p w:rsidR="00964A8B" w:rsidRDefault="00964A8B" w:rsidP="00964A8B">
      <w:pPr>
        <w:ind w:right="4671"/>
        <w:rPr>
          <w:rFonts w:ascii="Verdana" w:hAnsi="Verdana"/>
          <w:color w:val="828282"/>
          <w:sz w:val="15"/>
          <w:szCs w:val="15"/>
        </w:rPr>
      </w:pPr>
      <w:r>
        <w:rPr>
          <w:b/>
          <w:bCs/>
          <w:sz w:val="24"/>
        </w:rPr>
        <w:t>REPUBLIKA HRVATSKA</w:t>
      </w:r>
    </w:p>
    <w:p w:rsidR="00964A8B" w:rsidRDefault="00964A8B" w:rsidP="00964A8B">
      <w:pPr>
        <w:ind w:right="4671"/>
        <w:rPr>
          <w:b/>
          <w:bCs/>
          <w:sz w:val="24"/>
        </w:rPr>
      </w:pPr>
      <w:r>
        <w:rPr>
          <w:b/>
          <w:bCs/>
          <w:sz w:val="24"/>
        </w:rPr>
        <w:t>OSJEČKO-BARANJSKA ŽUPANIJA</w:t>
      </w:r>
    </w:p>
    <w:p w:rsidR="00964A8B" w:rsidRDefault="00964A8B" w:rsidP="00964A8B">
      <w:pPr>
        <w:ind w:right="4671"/>
        <w:rPr>
          <w:b/>
          <w:bCs/>
          <w:sz w:val="24"/>
        </w:rPr>
      </w:pPr>
      <w:r>
        <w:rPr>
          <w:b/>
          <w:bCs/>
          <w:sz w:val="24"/>
        </w:rPr>
        <w:t>OPĆINA DONJA MOTIČINA</w:t>
      </w:r>
    </w:p>
    <w:p w:rsidR="00964A8B" w:rsidRDefault="00964A8B" w:rsidP="00964A8B">
      <w:pPr>
        <w:ind w:right="4671"/>
        <w:rPr>
          <w:b/>
          <w:bCs/>
          <w:sz w:val="24"/>
        </w:rPr>
      </w:pPr>
      <w:r>
        <w:rPr>
          <w:b/>
          <w:bCs/>
          <w:sz w:val="24"/>
        </w:rPr>
        <w:t>OVLAŠTENI PREDSTAVNICI</w:t>
      </w:r>
    </w:p>
    <w:p w:rsidR="00964A8B" w:rsidRDefault="00964A8B" w:rsidP="00964A8B">
      <w:pPr>
        <w:pStyle w:val="Heading6"/>
        <w:jc w:val="left"/>
      </w:pPr>
      <w:r>
        <w:t>NARUČITELJA</w:t>
      </w:r>
    </w:p>
    <w:p w:rsidR="00964A8B" w:rsidRDefault="00964A8B" w:rsidP="00964A8B">
      <w:pPr>
        <w:pStyle w:val="Heading2"/>
      </w:pPr>
    </w:p>
    <w:p w:rsidR="00964A8B" w:rsidRDefault="00964A8B" w:rsidP="00964A8B">
      <w:pPr>
        <w:jc w:val="both"/>
        <w:rPr>
          <w:sz w:val="24"/>
        </w:rPr>
      </w:pPr>
      <w:r>
        <w:rPr>
          <w:sz w:val="24"/>
        </w:rPr>
        <w:t xml:space="preserve">                                    </w:t>
      </w:r>
    </w:p>
    <w:p w:rsidR="00964A8B" w:rsidRDefault="00964A8B" w:rsidP="00964A8B">
      <w:pPr>
        <w:pStyle w:val="Heading5"/>
        <w:rPr>
          <w:sz w:val="32"/>
        </w:rPr>
      </w:pPr>
      <w:r>
        <w:rPr>
          <w:sz w:val="32"/>
        </w:rPr>
        <w:t>UPUTE I DOKUMENTACIJA ZA NADMETANJE</w:t>
      </w:r>
    </w:p>
    <w:p w:rsidR="00964A8B" w:rsidRDefault="00964A8B" w:rsidP="00964A8B"/>
    <w:p w:rsidR="00964A8B" w:rsidRDefault="00964A8B" w:rsidP="00964A8B">
      <w:pPr>
        <w:numPr>
          <w:ilvl w:val="0"/>
          <w:numId w:val="1"/>
        </w:numPr>
        <w:ind w:left="426" w:hanging="426"/>
        <w:jc w:val="both"/>
        <w:rPr>
          <w:sz w:val="24"/>
          <w:szCs w:val="24"/>
        </w:rPr>
      </w:pPr>
      <w:r>
        <w:rPr>
          <w:sz w:val="24"/>
          <w:szCs w:val="24"/>
        </w:rPr>
        <w:t>Podaci o naručitelju: Općina Donja Motičina, Matije Gupca 62A, 31513 Donja Motičina.</w:t>
      </w:r>
    </w:p>
    <w:p w:rsidR="00964A8B" w:rsidRDefault="00964A8B" w:rsidP="00964A8B">
      <w:pPr>
        <w:ind w:left="426"/>
        <w:jc w:val="both"/>
        <w:rPr>
          <w:sz w:val="24"/>
          <w:szCs w:val="24"/>
        </w:rPr>
      </w:pPr>
      <w:r>
        <w:rPr>
          <w:sz w:val="24"/>
          <w:szCs w:val="24"/>
        </w:rPr>
        <w:t>OIB: 05744763826</w:t>
      </w:r>
    </w:p>
    <w:p w:rsidR="00964A8B" w:rsidRDefault="00964A8B" w:rsidP="00964A8B">
      <w:pPr>
        <w:ind w:left="426"/>
        <w:jc w:val="both"/>
        <w:rPr>
          <w:sz w:val="24"/>
          <w:szCs w:val="24"/>
        </w:rPr>
      </w:pPr>
      <w:r>
        <w:rPr>
          <w:sz w:val="24"/>
          <w:szCs w:val="24"/>
        </w:rPr>
        <w:t xml:space="preserve">Internet adresa: </w:t>
      </w:r>
      <w:hyperlink r:id="rId5" w:history="1">
        <w:r>
          <w:rPr>
            <w:rStyle w:val="Hyperlink"/>
            <w:szCs w:val="24"/>
          </w:rPr>
          <w:t>www.donja-moticina.hr</w:t>
        </w:r>
      </w:hyperlink>
    </w:p>
    <w:p w:rsidR="00964A8B" w:rsidRDefault="00964A8B" w:rsidP="00964A8B">
      <w:pPr>
        <w:ind w:left="426"/>
        <w:jc w:val="both"/>
        <w:rPr>
          <w:sz w:val="24"/>
          <w:szCs w:val="24"/>
        </w:rPr>
      </w:pPr>
      <w:r>
        <w:rPr>
          <w:sz w:val="24"/>
          <w:szCs w:val="24"/>
        </w:rPr>
        <w:t>Evidencijski broj nabave: 06/17</w:t>
      </w:r>
    </w:p>
    <w:p w:rsidR="00964A8B" w:rsidRDefault="00964A8B" w:rsidP="00964A8B">
      <w:pPr>
        <w:ind w:left="426"/>
        <w:jc w:val="both"/>
        <w:rPr>
          <w:sz w:val="24"/>
          <w:szCs w:val="24"/>
        </w:rPr>
      </w:pPr>
    </w:p>
    <w:p w:rsidR="00964A8B" w:rsidRDefault="00964A8B" w:rsidP="00964A8B">
      <w:pPr>
        <w:numPr>
          <w:ilvl w:val="0"/>
          <w:numId w:val="1"/>
        </w:numPr>
        <w:ind w:left="426" w:hanging="426"/>
        <w:jc w:val="both"/>
        <w:rPr>
          <w:sz w:val="24"/>
          <w:szCs w:val="24"/>
        </w:rPr>
      </w:pPr>
      <w:r>
        <w:rPr>
          <w:sz w:val="24"/>
          <w:szCs w:val="24"/>
        </w:rPr>
        <w:t>Vrsta postupka javne nabave: postupak nabave roba, usluga i radova malih vrijednosti, tzv. bagatelna nabava</w:t>
      </w:r>
    </w:p>
    <w:p w:rsidR="00964A8B" w:rsidRDefault="00964A8B" w:rsidP="00964A8B">
      <w:pPr>
        <w:jc w:val="both"/>
        <w:rPr>
          <w:sz w:val="24"/>
          <w:szCs w:val="24"/>
        </w:rPr>
      </w:pPr>
    </w:p>
    <w:p w:rsidR="00964A8B" w:rsidRDefault="00964A8B" w:rsidP="00964A8B">
      <w:pPr>
        <w:numPr>
          <w:ilvl w:val="0"/>
          <w:numId w:val="1"/>
        </w:numPr>
        <w:ind w:left="426" w:hanging="426"/>
        <w:jc w:val="both"/>
        <w:rPr>
          <w:sz w:val="24"/>
          <w:szCs w:val="24"/>
        </w:rPr>
      </w:pPr>
      <w:r>
        <w:rPr>
          <w:bCs/>
          <w:sz w:val="24"/>
          <w:szCs w:val="24"/>
        </w:rPr>
        <w:t>Procijenjena vrijednost nabave je 206.685,00 kuna (bez PDV-a).</w:t>
      </w:r>
      <w:r>
        <w:rPr>
          <w:sz w:val="24"/>
          <w:szCs w:val="24"/>
        </w:rPr>
        <w:t xml:space="preserve">  </w:t>
      </w:r>
    </w:p>
    <w:p w:rsidR="00964A8B" w:rsidRDefault="00964A8B" w:rsidP="00964A8B">
      <w:pPr>
        <w:jc w:val="both"/>
        <w:rPr>
          <w:sz w:val="24"/>
          <w:szCs w:val="24"/>
        </w:rPr>
      </w:pPr>
    </w:p>
    <w:p w:rsidR="00964A8B" w:rsidRDefault="00964A8B" w:rsidP="00964A8B">
      <w:pPr>
        <w:numPr>
          <w:ilvl w:val="0"/>
          <w:numId w:val="1"/>
        </w:numPr>
        <w:ind w:left="426" w:hanging="426"/>
        <w:jc w:val="both"/>
        <w:rPr>
          <w:sz w:val="24"/>
          <w:szCs w:val="24"/>
        </w:rPr>
      </w:pPr>
      <w:r>
        <w:rPr>
          <w:sz w:val="24"/>
          <w:szCs w:val="24"/>
        </w:rPr>
        <w:t xml:space="preserve">Predmet nabave: radovi za Energetsku obnovu zgrade Dobrovoljnog vatrogasnog društva Donja Motičina </w:t>
      </w:r>
    </w:p>
    <w:p w:rsidR="00964A8B" w:rsidRDefault="00964A8B" w:rsidP="00964A8B">
      <w:pPr>
        <w:jc w:val="both"/>
        <w:rPr>
          <w:sz w:val="24"/>
          <w:szCs w:val="24"/>
        </w:rPr>
      </w:pPr>
    </w:p>
    <w:p w:rsidR="00964A8B" w:rsidRDefault="00964A8B" w:rsidP="00964A8B">
      <w:pPr>
        <w:numPr>
          <w:ilvl w:val="0"/>
          <w:numId w:val="1"/>
        </w:numPr>
        <w:ind w:left="426" w:hanging="426"/>
        <w:jc w:val="both"/>
        <w:rPr>
          <w:sz w:val="24"/>
          <w:szCs w:val="24"/>
        </w:rPr>
      </w:pPr>
      <w:r>
        <w:rPr>
          <w:sz w:val="24"/>
          <w:szCs w:val="24"/>
        </w:rPr>
        <w:t>Kao dokaz sposobnosti obavljanja predmeta nabave ponuditelji trebaju dostaviti   sljedeće:</w:t>
      </w:r>
    </w:p>
    <w:p w:rsidR="00964A8B" w:rsidRDefault="00964A8B" w:rsidP="00964A8B">
      <w:pPr>
        <w:ind w:left="426"/>
        <w:jc w:val="both"/>
        <w:rPr>
          <w:sz w:val="24"/>
          <w:szCs w:val="24"/>
        </w:rPr>
      </w:pPr>
      <w:r>
        <w:rPr>
          <w:sz w:val="24"/>
          <w:szCs w:val="24"/>
        </w:rPr>
        <w:t>- dokaz o upisu u sudski, obrtni, strukovni ili drugi odgovarajući registar države</w:t>
      </w:r>
    </w:p>
    <w:p w:rsidR="00964A8B" w:rsidRDefault="00964A8B" w:rsidP="00964A8B">
      <w:pPr>
        <w:ind w:left="426"/>
        <w:jc w:val="both"/>
        <w:rPr>
          <w:sz w:val="24"/>
          <w:szCs w:val="24"/>
        </w:rPr>
      </w:pPr>
      <w:r>
        <w:rPr>
          <w:sz w:val="24"/>
          <w:szCs w:val="24"/>
        </w:rPr>
        <w:t xml:space="preserve">  sjedišta Ponuditelja koji je u vezi s predmetom nabave, </w:t>
      </w:r>
    </w:p>
    <w:p w:rsidR="00964A8B" w:rsidRDefault="00964A8B" w:rsidP="00964A8B">
      <w:pPr>
        <w:ind w:left="426"/>
        <w:jc w:val="both"/>
        <w:rPr>
          <w:rFonts w:eastAsia="Calibri"/>
          <w:sz w:val="24"/>
          <w:szCs w:val="24"/>
          <w:lang w:eastAsia="en-US"/>
        </w:rPr>
      </w:pPr>
      <w:r>
        <w:rPr>
          <w:sz w:val="24"/>
          <w:szCs w:val="24"/>
        </w:rPr>
        <w:t xml:space="preserve">- </w:t>
      </w:r>
      <w:r>
        <w:rPr>
          <w:rFonts w:eastAsia="Calibri"/>
          <w:sz w:val="24"/>
          <w:szCs w:val="24"/>
          <w:lang w:eastAsia="en-US"/>
        </w:rPr>
        <w:t>potvrda Porezne uprave o plaćenim porezima i doprinosima (ne stariju od 30 dana),</w:t>
      </w:r>
    </w:p>
    <w:p w:rsidR="00964A8B" w:rsidRDefault="00964A8B" w:rsidP="00964A8B">
      <w:pPr>
        <w:ind w:left="426"/>
        <w:jc w:val="both"/>
        <w:rPr>
          <w:rFonts w:eastAsia="Calibri"/>
          <w:sz w:val="24"/>
          <w:szCs w:val="24"/>
          <w:lang w:eastAsia="en-US"/>
        </w:rPr>
      </w:pPr>
      <w:r>
        <w:rPr>
          <w:rFonts w:eastAsia="Calibri"/>
          <w:sz w:val="24"/>
          <w:szCs w:val="24"/>
          <w:lang w:eastAsia="en-US"/>
        </w:rPr>
        <w:t>- podaci o bonitetu i solventnosti na obrascu BON-1 i BON-2 (ne stariji od 30 dana).</w:t>
      </w:r>
    </w:p>
    <w:p w:rsidR="00964A8B" w:rsidRDefault="00964A8B" w:rsidP="00964A8B">
      <w:pPr>
        <w:ind w:left="284"/>
        <w:jc w:val="both"/>
        <w:rPr>
          <w:sz w:val="24"/>
          <w:szCs w:val="24"/>
        </w:rPr>
      </w:pPr>
    </w:p>
    <w:p w:rsidR="00964A8B" w:rsidRDefault="00964A8B" w:rsidP="00964A8B">
      <w:pPr>
        <w:numPr>
          <w:ilvl w:val="0"/>
          <w:numId w:val="1"/>
        </w:numPr>
        <w:ind w:left="426" w:hanging="426"/>
        <w:jc w:val="both"/>
        <w:rPr>
          <w:sz w:val="24"/>
          <w:szCs w:val="24"/>
        </w:rPr>
      </w:pPr>
      <w:r>
        <w:rPr>
          <w:sz w:val="24"/>
          <w:szCs w:val="24"/>
        </w:rPr>
        <w:t>Ponuda treba sadržavati:</w:t>
      </w:r>
    </w:p>
    <w:p w:rsidR="00964A8B" w:rsidRDefault="00964A8B" w:rsidP="00964A8B">
      <w:pPr>
        <w:numPr>
          <w:ilvl w:val="1"/>
          <w:numId w:val="1"/>
        </w:numPr>
        <w:jc w:val="both"/>
        <w:rPr>
          <w:sz w:val="24"/>
          <w:szCs w:val="24"/>
        </w:rPr>
      </w:pPr>
      <w:r>
        <w:rPr>
          <w:sz w:val="24"/>
          <w:szCs w:val="24"/>
        </w:rPr>
        <w:t xml:space="preserve">Ponudbeni list </w:t>
      </w:r>
    </w:p>
    <w:p w:rsidR="00964A8B" w:rsidRDefault="00964A8B" w:rsidP="00964A8B">
      <w:pPr>
        <w:numPr>
          <w:ilvl w:val="1"/>
          <w:numId w:val="1"/>
        </w:numPr>
        <w:jc w:val="both"/>
        <w:rPr>
          <w:sz w:val="24"/>
          <w:szCs w:val="24"/>
        </w:rPr>
      </w:pPr>
      <w:r>
        <w:rPr>
          <w:sz w:val="24"/>
          <w:szCs w:val="24"/>
        </w:rPr>
        <w:t>Troškovnik</w:t>
      </w:r>
    </w:p>
    <w:p w:rsidR="00964A8B" w:rsidRDefault="00964A8B" w:rsidP="00964A8B">
      <w:pPr>
        <w:numPr>
          <w:ilvl w:val="1"/>
          <w:numId w:val="1"/>
        </w:numPr>
        <w:jc w:val="both"/>
        <w:rPr>
          <w:sz w:val="24"/>
          <w:szCs w:val="24"/>
        </w:rPr>
      </w:pPr>
      <w:r>
        <w:rPr>
          <w:sz w:val="24"/>
          <w:szCs w:val="24"/>
        </w:rPr>
        <w:t>Dokaze/tražene dokumente (točka 5.)</w:t>
      </w:r>
    </w:p>
    <w:p w:rsidR="00964A8B" w:rsidRDefault="00964A8B" w:rsidP="00964A8B">
      <w:pPr>
        <w:jc w:val="both"/>
        <w:rPr>
          <w:sz w:val="24"/>
          <w:szCs w:val="24"/>
        </w:rPr>
      </w:pPr>
    </w:p>
    <w:p w:rsidR="00964A8B" w:rsidRDefault="00964A8B" w:rsidP="00964A8B">
      <w:pPr>
        <w:numPr>
          <w:ilvl w:val="0"/>
          <w:numId w:val="1"/>
        </w:numPr>
        <w:ind w:left="426" w:hanging="426"/>
        <w:jc w:val="both"/>
        <w:rPr>
          <w:sz w:val="24"/>
          <w:szCs w:val="24"/>
        </w:rPr>
      </w:pPr>
      <w:r>
        <w:rPr>
          <w:sz w:val="24"/>
          <w:szCs w:val="24"/>
        </w:rPr>
        <w:t>Ponuda se izrađuje na način da čini cjelinu, te se uvezuje na način da se onemogući naknadno vađenje ili umetanje listova. Stranice ponude se označavaju brojem na način da je vidljiv redni broj stranice i ukupan broj stranica ponude.</w:t>
      </w:r>
    </w:p>
    <w:p w:rsidR="00964A8B" w:rsidRDefault="00964A8B" w:rsidP="00964A8B">
      <w:pPr>
        <w:jc w:val="both"/>
        <w:rPr>
          <w:sz w:val="24"/>
          <w:szCs w:val="24"/>
        </w:rPr>
      </w:pPr>
    </w:p>
    <w:p w:rsidR="00964A8B" w:rsidRDefault="00964A8B" w:rsidP="00964A8B">
      <w:pPr>
        <w:numPr>
          <w:ilvl w:val="0"/>
          <w:numId w:val="1"/>
        </w:numPr>
        <w:ind w:left="426" w:hanging="426"/>
        <w:jc w:val="both"/>
        <w:rPr>
          <w:sz w:val="24"/>
          <w:szCs w:val="24"/>
        </w:rPr>
      </w:pPr>
      <w:r>
        <w:rPr>
          <w:sz w:val="24"/>
          <w:szCs w:val="24"/>
        </w:rPr>
        <w:t>Ponude se dostavljaju u zatvorenoj omotnici na adresu naručitelja. Na omotnici obvezno se stavlja:</w:t>
      </w:r>
    </w:p>
    <w:p w:rsidR="00964A8B" w:rsidRDefault="00964A8B" w:rsidP="00964A8B">
      <w:pPr>
        <w:jc w:val="both"/>
        <w:rPr>
          <w:sz w:val="24"/>
          <w:szCs w:val="24"/>
        </w:rPr>
      </w:pPr>
    </w:p>
    <w:p w:rsidR="00964A8B" w:rsidRDefault="00964A8B" w:rsidP="00964A8B">
      <w:pPr>
        <w:jc w:val="center"/>
        <w:rPr>
          <w:b/>
          <w:bCs/>
          <w:sz w:val="24"/>
          <w:szCs w:val="24"/>
        </w:rPr>
      </w:pPr>
      <w:r>
        <w:rPr>
          <w:b/>
          <w:bCs/>
          <w:sz w:val="24"/>
          <w:szCs w:val="24"/>
        </w:rPr>
        <w:t>OPĆINA DONJA MOTIČINA</w:t>
      </w:r>
    </w:p>
    <w:p w:rsidR="00964A8B" w:rsidRDefault="00964A8B" w:rsidP="00964A8B">
      <w:pPr>
        <w:jc w:val="center"/>
        <w:rPr>
          <w:b/>
          <w:bCs/>
          <w:sz w:val="24"/>
          <w:szCs w:val="24"/>
        </w:rPr>
      </w:pPr>
      <w:r>
        <w:rPr>
          <w:b/>
          <w:bCs/>
          <w:sz w:val="24"/>
          <w:szCs w:val="24"/>
        </w:rPr>
        <w:t>MATIJE GUPCA 62A</w:t>
      </w:r>
    </w:p>
    <w:p w:rsidR="00964A8B" w:rsidRDefault="00964A8B" w:rsidP="00964A8B">
      <w:pPr>
        <w:jc w:val="center"/>
        <w:rPr>
          <w:b/>
          <w:bCs/>
          <w:sz w:val="24"/>
          <w:szCs w:val="24"/>
        </w:rPr>
      </w:pPr>
      <w:r>
        <w:rPr>
          <w:b/>
          <w:bCs/>
          <w:sz w:val="24"/>
          <w:szCs w:val="24"/>
        </w:rPr>
        <w:t>31513 DONJA MOTIČINA</w:t>
      </w:r>
    </w:p>
    <w:p w:rsidR="00964A8B" w:rsidRDefault="00964A8B" w:rsidP="00964A8B">
      <w:pPr>
        <w:pStyle w:val="BodyText2"/>
        <w:rPr>
          <w:b/>
          <w:bCs/>
        </w:rPr>
      </w:pPr>
      <w:r>
        <w:rPr>
          <w:b/>
          <w:bCs/>
        </w:rPr>
        <w:t xml:space="preserve">Ponuda za </w:t>
      </w:r>
      <w:r w:rsidR="00194D10">
        <w:rPr>
          <w:b/>
          <w:bCs/>
        </w:rPr>
        <w:t>DVD Donja Motičina</w:t>
      </w:r>
    </w:p>
    <w:p w:rsidR="00964A8B" w:rsidRDefault="00964A8B" w:rsidP="00964A8B">
      <w:pPr>
        <w:pStyle w:val="BodyText2"/>
        <w:rPr>
          <w:u w:val="single"/>
        </w:rPr>
      </w:pPr>
      <w:r>
        <w:rPr>
          <w:b/>
          <w:bCs/>
          <w:u w:val="single"/>
        </w:rPr>
        <w:t>NE OTVARAJ</w:t>
      </w:r>
      <w:r>
        <w:rPr>
          <w:b/>
          <w:bCs/>
          <w:u w:val="single"/>
        </w:rPr>
        <w:br/>
      </w:r>
    </w:p>
    <w:p w:rsidR="00194D10" w:rsidRDefault="00964A8B" w:rsidP="00964A8B">
      <w:pPr>
        <w:pStyle w:val="BodyText2"/>
        <w:ind w:left="425" w:hanging="425"/>
        <w:jc w:val="both"/>
      </w:pPr>
      <w:r>
        <w:t>9.  Ponuditelj izražava cijenu ponude u kunama. U ukupnu cijenu treba uvrstiti sve</w:t>
      </w:r>
      <w:r w:rsidR="00194D10">
        <w:t xml:space="preserve"> troškove,</w:t>
      </w:r>
    </w:p>
    <w:p w:rsidR="00194D10" w:rsidRDefault="00194D10" w:rsidP="00964A8B">
      <w:pPr>
        <w:pStyle w:val="BodyText2"/>
        <w:ind w:left="425" w:hanging="425"/>
        <w:jc w:val="both"/>
      </w:pPr>
      <w:r>
        <w:t xml:space="preserve">     </w:t>
      </w:r>
      <w:r w:rsidR="00964A8B">
        <w:t>bez poreza na dodanu vrijednost. Cijena mora biti izraž</w:t>
      </w:r>
      <w:r>
        <w:t>ena u kunama i nepromjenjiva do</w:t>
      </w:r>
    </w:p>
    <w:p w:rsidR="00964A8B" w:rsidRDefault="00194D10" w:rsidP="00964A8B">
      <w:pPr>
        <w:pStyle w:val="BodyText2"/>
        <w:ind w:left="425" w:hanging="425"/>
        <w:jc w:val="both"/>
      </w:pPr>
      <w:r>
        <w:t xml:space="preserve">     </w:t>
      </w:r>
      <w:r w:rsidR="00964A8B">
        <w:t>roka valjanosti ponude. Ponuda mora biti napisana na hrvatskom jeziku i latiničnom pismu.</w:t>
      </w:r>
    </w:p>
    <w:p w:rsidR="00964A8B" w:rsidRDefault="00964A8B" w:rsidP="00964A8B">
      <w:pPr>
        <w:pStyle w:val="BodyText2"/>
        <w:ind w:left="425" w:hanging="425"/>
        <w:jc w:val="both"/>
      </w:pPr>
    </w:p>
    <w:p w:rsidR="00964A8B" w:rsidRDefault="00964A8B" w:rsidP="00964A8B">
      <w:pPr>
        <w:pStyle w:val="BodyText2"/>
        <w:ind w:left="425" w:hanging="425"/>
        <w:jc w:val="both"/>
      </w:pPr>
      <w:r>
        <w:t>10.  Rok valjanosti ponude ne može biti manji od 60 dana od dana otvaranja ponuda.</w:t>
      </w:r>
    </w:p>
    <w:p w:rsidR="00964A8B" w:rsidRDefault="00964A8B" w:rsidP="00964A8B">
      <w:pPr>
        <w:jc w:val="both"/>
        <w:rPr>
          <w:sz w:val="24"/>
          <w:szCs w:val="24"/>
        </w:rPr>
      </w:pPr>
    </w:p>
    <w:p w:rsidR="00964A8B" w:rsidRDefault="00964A8B" w:rsidP="00964A8B">
      <w:pPr>
        <w:ind w:left="426" w:hanging="426"/>
        <w:jc w:val="both"/>
        <w:rPr>
          <w:sz w:val="24"/>
          <w:szCs w:val="24"/>
        </w:rPr>
      </w:pPr>
      <w:r>
        <w:rPr>
          <w:sz w:val="24"/>
          <w:szCs w:val="24"/>
        </w:rPr>
        <w:t xml:space="preserve">11. Ponuda, bez obzira na način dostave, mora biti dostavljena i zaprimljena najkasnije do 17. rujna 2018. godine do 10,00h, bez obzira na način dostave </w:t>
      </w:r>
    </w:p>
    <w:p w:rsidR="00964A8B" w:rsidRDefault="00964A8B" w:rsidP="00964A8B">
      <w:pPr>
        <w:jc w:val="both"/>
        <w:rPr>
          <w:sz w:val="24"/>
          <w:szCs w:val="24"/>
        </w:rPr>
      </w:pPr>
    </w:p>
    <w:p w:rsidR="00964A8B" w:rsidRDefault="00964A8B" w:rsidP="00964A8B">
      <w:pPr>
        <w:jc w:val="both"/>
        <w:rPr>
          <w:bCs/>
          <w:sz w:val="24"/>
          <w:szCs w:val="24"/>
        </w:rPr>
      </w:pPr>
      <w:r>
        <w:rPr>
          <w:sz w:val="24"/>
          <w:szCs w:val="24"/>
        </w:rPr>
        <w:t xml:space="preserve">12.  Otvaranje ponuda obavljaju </w:t>
      </w:r>
      <w:r>
        <w:rPr>
          <w:bCs/>
          <w:sz w:val="24"/>
          <w:szCs w:val="24"/>
        </w:rPr>
        <w:t xml:space="preserve">ovlašteni predstavnici naručitelja, zajedno sa </w:t>
      </w:r>
    </w:p>
    <w:p w:rsidR="00964A8B" w:rsidRDefault="00964A8B" w:rsidP="00964A8B">
      <w:pPr>
        <w:jc w:val="both"/>
        <w:rPr>
          <w:sz w:val="24"/>
          <w:szCs w:val="24"/>
        </w:rPr>
      </w:pPr>
      <w:r>
        <w:rPr>
          <w:bCs/>
          <w:sz w:val="24"/>
          <w:szCs w:val="24"/>
        </w:rPr>
        <w:t xml:space="preserve">       Povjerenstvom</w:t>
      </w:r>
      <w:r>
        <w:rPr>
          <w:sz w:val="24"/>
          <w:szCs w:val="24"/>
        </w:rPr>
        <w:t>. Obavijest o odabiru najpovoljnije ponude dostavit će se u roku od 30</w:t>
      </w:r>
    </w:p>
    <w:p w:rsidR="00964A8B" w:rsidRDefault="00964A8B" w:rsidP="00964A8B">
      <w:pPr>
        <w:jc w:val="both"/>
        <w:rPr>
          <w:sz w:val="24"/>
          <w:szCs w:val="24"/>
        </w:rPr>
      </w:pPr>
      <w:r>
        <w:rPr>
          <w:sz w:val="24"/>
          <w:szCs w:val="24"/>
        </w:rPr>
        <w:t xml:space="preserve">       dana od isteka  roka za dostavu ponuda.</w:t>
      </w:r>
    </w:p>
    <w:p w:rsidR="00964A8B" w:rsidRDefault="00964A8B" w:rsidP="00964A8B">
      <w:pPr>
        <w:jc w:val="both"/>
        <w:rPr>
          <w:sz w:val="24"/>
          <w:szCs w:val="24"/>
        </w:rPr>
      </w:pPr>
    </w:p>
    <w:p w:rsidR="00964A8B" w:rsidRDefault="00964A8B" w:rsidP="00964A8B">
      <w:pPr>
        <w:ind w:left="426" w:hanging="426"/>
        <w:jc w:val="both"/>
        <w:rPr>
          <w:sz w:val="24"/>
          <w:szCs w:val="24"/>
        </w:rPr>
      </w:pPr>
      <w:r>
        <w:rPr>
          <w:sz w:val="24"/>
          <w:szCs w:val="24"/>
        </w:rPr>
        <w:t>13. Ugovorni odnos nastaje u trenutku potpisivanja Ugovora. Plaćanje se vrši temeljem ispostavljenog računa u roku od 30 dana od dana zaprimanja računa i plaćanja pripadajućeg udjela od strane Fonda za zaštitu okoliša i energetsku učinkovitost.</w:t>
      </w:r>
    </w:p>
    <w:p w:rsidR="00964A8B" w:rsidRDefault="00964A8B" w:rsidP="00964A8B">
      <w:pPr>
        <w:jc w:val="both"/>
        <w:rPr>
          <w:sz w:val="24"/>
          <w:szCs w:val="24"/>
        </w:rPr>
      </w:pPr>
    </w:p>
    <w:p w:rsidR="00964A8B" w:rsidRDefault="00964A8B" w:rsidP="00964A8B">
      <w:pPr>
        <w:ind w:left="426" w:hanging="426"/>
        <w:jc w:val="both"/>
        <w:rPr>
          <w:sz w:val="24"/>
          <w:szCs w:val="24"/>
        </w:rPr>
      </w:pPr>
      <w:r>
        <w:rPr>
          <w:sz w:val="24"/>
          <w:szCs w:val="24"/>
        </w:rPr>
        <w:t>14. Ponuditelj može u roku od tri dana od primitka pisane odluke o odabiru uložiti       Prigovor naručitelju na odluku o odabiru radi nepravi</w:t>
      </w:r>
      <w:r w:rsidR="00194D10">
        <w:rPr>
          <w:sz w:val="24"/>
          <w:szCs w:val="24"/>
        </w:rPr>
        <w:t xml:space="preserve">lnosti u postupku nabave. </w:t>
      </w:r>
      <w:bookmarkStart w:id="0" w:name="_GoBack"/>
      <w:bookmarkEnd w:id="0"/>
      <w:r>
        <w:rPr>
          <w:sz w:val="24"/>
          <w:szCs w:val="24"/>
        </w:rPr>
        <w:t>Ponuditelj podnosi prigovor naručitelju u pisanom obliku. U prigovoru je potrebno navesti nepravilnosti sa obrazloženjem i prijedlog za otklanjanje nepravilnosti. Naručitelj će odgovoriti ponuditelju na prigovor u roku od osam dana od dana primitka prigovora.</w:t>
      </w:r>
    </w:p>
    <w:p w:rsidR="00964A8B" w:rsidRDefault="00964A8B" w:rsidP="00964A8B">
      <w:pPr>
        <w:ind w:left="426" w:hanging="426"/>
        <w:jc w:val="both"/>
        <w:rPr>
          <w:sz w:val="24"/>
          <w:szCs w:val="24"/>
        </w:rPr>
      </w:pPr>
    </w:p>
    <w:p w:rsidR="00964A8B" w:rsidRDefault="00964A8B" w:rsidP="00964A8B">
      <w:pPr>
        <w:ind w:left="426" w:hanging="426"/>
        <w:jc w:val="both"/>
        <w:rPr>
          <w:sz w:val="24"/>
          <w:szCs w:val="24"/>
        </w:rPr>
      </w:pPr>
      <w:r>
        <w:rPr>
          <w:sz w:val="24"/>
          <w:szCs w:val="24"/>
        </w:rPr>
        <w:t>15. Naručitelj zadržava pravo poništiti nadmetanje, odnosno ne odabrati niti jednu ponudu uz navođenje razloga ne odabira.</w:t>
      </w:r>
    </w:p>
    <w:p w:rsidR="00964A8B" w:rsidRDefault="00964A8B" w:rsidP="00964A8B">
      <w:pPr>
        <w:jc w:val="both"/>
        <w:rPr>
          <w:sz w:val="24"/>
          <w:szCs w:val="24"/>
        </w:rPr>
      </w:pPr>
    </w:p>
    <w:p w:rsidR="00964A8B" w:rsidRDefault="00964A8B" w:rsidP="00964A8B">
      <w:pPr>
        <w:jc w:val="both"/>
        <w:rPr>
          <w:sz w:val="24"/>
          <w:szCs w:val="24"/>
        </w:rPr>
      </w:pPr>
      <w:r>
        <w:rPr>
          <w:sz w:val="24"/>
          <w:szCs w:val="24"/>
        </w:rPr>
        <w:t>Sve dodatne informacije ponuditelji mogu dobiti u Jedinstvenom upravnom odjelu Općine Donja Motičina, kontakt osoba: Ingrid Marman, mag. iur., telefon: 031/606-116.</w:t>
      </w:r>
    </w:p>
    <w:p w:rsidR="00964A8B" w:rsidRDefault="00964A8B" w:rsidP="00964A8B"/>
    <w:p w:rsidR="00964A8B" w:rsidRDefault="00964A8B" w:rsidP="00964A8B">
      <w:pPr>
        <w:ind w:left="5103"/>
        <w:jc w:val="center"/>
        <w:rPr>
          <w:sz w:val="24"/>
        </w:rPr>
      </w:pPr>
    </w:p>
    <w:p w:rsidR="00964A8B" w:rsidRDefault="00964A8B" w:rsidP="00964A8B">
      <w:pPr>
        <w:ind w:left="5103"/>
        <w:jc w:val="center"/>
        <w:rPr>
          <w:sz w:val="24"/>
        </w:rPr>
      </w:pPr>
    </w:p>
    <w:p w:rsidR="00964A8B" w:rsidRDefault="00964A8B" w:rsidP="00964A8B">
      <w:pPr>
        <w:ind w:left="5103"/>
        <w:jc w:val="center"/>
        <w:rPr>
          <w:sz w:val="24"/>
        </w:rPr>
      </w:pPr>
      <w:r>
        <w:rPr>
          <w:sz w:val="24"/>
        </w:rPr>
        <w:t>Ovlašteni predstavnici naručitelja</w:t>
      </w:r>
    </w:p>
    <w:p w:rsidR="00964A8B" w:rsidRDefault="00964A8B" w:rsidP="00964A8B">
      <w:pPr>
        <w:ind w:left="5103"/>
        <w:jc w:val="center"/>
        <w:rPr>
          <w:sz w:val="24"/>
        </w:rPr>
      </w:pPr>
    </w:p>
    <w:p w:rsidR="00964A8B" w:rsidRDefault="00964A8B" w:rsidP="00964A8B">
      <w:pPr>
        <w:rPr>
          <w:sz w:val="24"/>
        </w:rPr>
      </w:pPr>
    </w:p>
    <w:p w:rsidR="00964A8B" w:rsidRDefault="00964A8B" w:rsidP="00964A8B">
      <w:pPr>
        <w:rPr>
          <w:sz w:val="24"/>
        </w:rPr>
      </w:pPr>
    </w:p>
    <w:p w:rsidR="00964A8B" w:rsidRDefault="00964A8B" w:rsidP="00964A8B">
      <w:pPr>
        <w:rPr>
          <w:sz w:val="24"/>
        </w:rPr>
      </w:pPr>
    </w:p>
    <w:p w:rsidR="00964A8B" w:rsidRDefault="00964A8B" w:rsidP="00964A8B">
      <w:pPr>
        <w:rPr>
          <w:sz w:val="24"/>
        </w:rPr>
      </w:pPr>
    </w:p>
    <w:p w:rsidR="00964A8B" w:rsidRDefault="00964A8B" w:rsidP="00964A8B">
      <w:pPr>
        <w:rPr>
          <w:sz w:val="24"/>
        </w:rPr>
      </w:pPr>
    </w:p>
    <w:p w:rsidR="007C3EEC" w:rsidRDefault="007C3EEC"/>
    <w:sectPr w:rsidR="007C3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3469C"/>
    <w:multiLevelType w:val="hybridMultilevel"/>
    <w:tmpl w:val="F6944E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661E0A16">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8B"/>
    <w:rsid w:val="00194D10"/>
    <w:rsid w:val="007C3EEC"/>
    <w:rsid w:val="00964A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98B0"/>
  <w15:chartTrackingRefBased/>
  <w15:docId w15:val="{B4910685-54FE-4E9F-981F-B6E56A17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8B"/>
    <w:pPr>
      <w:spacing w:after="0" w:line="240" w:lineRule="auto"/>
    </w:pPr>
    <w:rPr>
      <w:rFonts w:ascii="Times New Roman" w:eastAsia="Times New Roman" w:hAnsi="Times New Roman" w:cs="Times New Roman"/>
      <w:sz w:val="20"/>
      <w:szCs w:val="20"/>
      <w:lang w:eastAsia="hr-HR"/>
    </w:rPr>
  </w:style>
  <w:style w:type="paragraph" w:styleId="Heading2">
    <w:name w:val="heading 2"/>
    <w:basedOn w:val="Normal"/>
    <w:next w:val="Normal"/>
    <w:link w:val="Heading2Char"/>
    <w:semiHidden/>
    <w:unhideWhenUsed/>
    <w:qFormat/>
    <w:rsid w:val="00964A8B"/>
    <w:pPr>
      <w:keepNext/>
      <w:outlineLvl w:val="1"/>
    </w:pPr>
    <w:rPr>
      <w:sz w:val="24"/>
    </w:rPr>
  </w:style>
  <w:style w:type="paragraph" w:styleId="Heading5">
    <w:name w:val="heading 5"/>
    <w:basedOn w:val="Normal"/>
    <w:next w:val="Normal"/>
    <w:link w:val="Heading5Char"/>
    <w:semiHidden/>
    <w:unhideWhenUsed/>
    <w:qFormat/>
    <w:rsid w:val="00964A8B"/>
    <w:pPr>
      <w:keepNext/>
      <w:jc w:val="center"/>
      <w:outlineLvl w:val="4"/>
    </w:pPr>
    <w:rPr>
      <w:b/>
      <w:bCs/>
      <w:sz w:val="24"/>
    </w:rPr>
  </w:style>
  <w:style w:type="paragraph" w:styleId="Heading6">
    <w:name w:val="heading 6"/>
    <w:basedOn w:val="Normal"/>
    <w:next w:val="Normal"/>
    <w:link w:val="Heading6Char"/>
    <w:semiHidden/>
    <w:unhideWhenUsed/>
    <w:qFormat/>
    <w:rsid w:val="00964A8B"/>
    <w:pPr>
      <w:keepNext/>
      <w:ind w:right="4671"/>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64A8B"/>
    <w:rPr>
      <w:rFonts w:ascii="Times New Roman" w:eastAsia="Times New Roman" w:hAnsi="Times New Roman" w:cs="Times New Roman"/>
      <w:sz w:val="24"/>
      <w:szCs w:val="20"/>
      <w:lang w:eastAsia="hr-HR"/>
    </w:rPr>
  </w:style>
  <w:style w:type="character" w:customStyle="1" w:styleId="Heading5Char">
    <w:name w:val="Heading 5 Char"/>
    <w:basedOn w:val="DefaultParagraphFont"/>
    <w:link w:val="Heading5"/>
    <w:semiHidden/>
    <w:rsid w:val="00964A8B"/>
    <w:rPr>
      <w:rFonts w:ascii="Times New Roman" w:eastAsia="Times New Roman" w:hAnsi="Times New Roman" w:cs="Times New Roman"/>
      <w:b/>
      <w:bCs/>
      <w:sz w:val="24"/>
      <w:szCs w:val="20"/>
      <w:lang w:eastAsia="hr-HR"/>
    </w:rPr>
  </w:style>
  <w:style w:type="character" w:customStyle="1" w:styleId="Heading6Char">
    <w:name w:val="Heading 6 Char"/>
    <w:basedOn w:val="DefaultParagraphFont"/>
    <w:link w:val="Heading6"/>
    <w:semiHidden/>
    <w:rsid w:val="00964A8B"/>
    <w:rPr>
      <w:rFonts w:ascii="Times New Roman" w:eastAsia="Times New Roman" w:hAnsi="Times New Roman" w:cs="Times New Roman"/>
      <w:b/>
      <w:bCs/>
      <w:sz w:val="24"/>
      <w:szCs w:val="20"/>
      <w:lang w:eastAsia="hr-HR"/>
    </w:rPr>
  </w:style>
  <w:style w:type="character" w:styleId="Hyperlink">
    <w:name w:val="Hyperlink"/>
    <w:semiHidden/>
    <w:unhideWhenUsed/>
    <w:rsid w:val="00964A8B"/>
    <w:rPr>
      <w:color w:val="0000FF"/>
      <w:u w:val="single"/>
    </w:rPr>
  </w:style>
  <w:style w:type="paragraph" w:styleId="BodyText2">
    <w:name w:val="Body Text 2"/>
    <w:basedOn w:val="Normal"/>
    <w:link w:val="BodyText2Char"/>
    <w:semiHidden/>
    <w:unhideWhenUsed/>
    <w:rsid w:val="00964A8B"/>
    <w:pPr>
      <w:jc w:val="center"/>
    </w:pPr>
    <w:rPr>
      <w:sz w:val="24"/>
      <w:szCs w:val="24"/>
    </w:rPr>
  </w:style>
  <w:style w:type="character" w:customStyle="1" w:styleId="BodyText2Char">
    <w:name w:val="Body Text 2 Char"/>
    <w:basedOn w:val="DefaultParagraphFont"/>
    <w:link w:val="BodyText2"/>
    <w:semiHidden/>
    <w:rsid w:val="00964A8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ja-moticin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dcterms:created xsi:type="dcterms:W3CDTF">2018-08-30T07:55:00Z</dcterms:created>
  <dcterms:modified xsi:type="dcterms:W3CDTF">2018-08-31T06:20:00Z</dcterms:modified>
</cp:coreProperties>
</file>